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334" w:rsidRPr="00464334" w:rsidRDefault="00464334" w:rsidP="00464334">
      <w:pPr>
        <w:jc w:val="center"/>
        <w:rPr>
          <w:rFonts w:ascii="Times New Roman" w:hAnsi="Times New Roman" w:cs="Times New Roman"/>
          <w:b/>
          <w:bCs/>
          <w:color w:val="1F4E79" w:themeColor="accent1" w:themeShade="80"/>
          <w:sz w:val="32"/>
          <w:szCs w:val="32"/>
        </w:rPr>
      </w:pPr>
      <w:r w:rsidRPr="00464334">
        <w:rPr>
          <w:rFonts w:ascii="Times New Roman" w:hAnsi="Times New Roman" w:cs="Times New Roman"/>
          <w:b/>
          <w:bCs/>
          <w:color w:val="1F4E79" w:themeColor="accent1" w:themeShade="80"/>
          <w:sz w:val="32"/>
          <w:szCs w:val="32"/>
        </w:rPr>
        <w:t>ESPERMATOGÉNESIS</w:t>
      </w:r>
    </w:p>
    <w:p w:rsidR="00464334" w:rsidRDefault="00464334">
      <w:pPr>
        <w:rPr>
          <w:b/>
          <w:bCs/>
        </w:rPr>
      </w:pPr>
      <w:r>
        <w:rPr>
          <w:b/>
          <w:bCs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13335</wp:posOffset>
                </wp:positionV>
                <wp:extent cx="4000500" cy="609600"/>
                <wp:effectExtent l="76200" t="76200" r="95250" b="9525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609600"/>
                        </a:xfrm>
                        <a:prstGeom prst="rect">
                          <a:avLst/>
                        </a:prstGeom>
                        <a:ln/>
                        <a:effectLst>
                          <a:glow rad="635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4334" w:rsidRPr="00464334" w:rsidRDefault="00464334" w:rsidP="004643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6433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La espermatogénesis implica la maduración de las espermàtides a espermatozoides.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8.7pt;margin-top:1.05pt;width:31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" fillcolor="#ed7d31 [3205]" strokecolor="white [3201]" strokeweight="1.5pt">
                <v:textbox>
                  <w:txbxContent>
                    <w:p w:rsidR="00464334" w:rsidRPr="00464334" w:rsidRDefault="00464334" w:rsidP="00464334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46433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La espermatogénesis implica la maduración de las espermàtides a espermatozoides.</w:t>
                      </w:r>
                    </w:p>
                  </w:txbxContent>
                </v:textbox>
              </v:shape>
            </w:pict>
          </mc:Fallback>
        </mc:AlternateContent>
      </w:r>
    </w:p>
    <w:p w:rsidR="00464334" w:rsidRDefault="00464334">
      <w:pPr>
        <w:rPr>
          <w:noProof/>
          <w:lang w:eastAsia="es-ES"/>
        </w:rPr>
      </w:pPr>
    </w:p>
    <w:p w:rsidR="00464334" w:rsidRDefault="00464334">
      <w:pPr>
        <w:rPr>
          <w:noProof/>
          <w:lang w:eastAsia="es-ES"/>
        </w:rPr>
      </w:pPr>
    </w:p>
    <w:p w:rsidR="00464334" w:rsidRDefault="00D64C9E">
      <w:pPr>
        <w:rPr>
          <w:b/>
          <w:bCs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4644390</wp:posOffset>
                </wp:positionH>
                <wp:positionV relativeFrom="paragraph">
                  <wp:posOffset>356234</wp:posOffset>
                </wp:positionV>
                <wp:extent cx="1314450" cy="619125"/>
                <wp:effectExtent l="114300" t="114300" r="133350" b="1428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619125"/>
                        </a:xfrm>
                        <a:prstGeom prst="rect">
                          <a:avLst/>
                        </a:prstGeom>
                        <a:ln/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4C9E" w:rsidRPr="00D64C9E" w:rsidRDefault="00D64C9E" w:rsidP="00D64C9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64C9E">
                              <w:rPr>
                                <w:rFonts w:ascii="Times New Roman" w:eastAsia="Times-Roman" w:hAnsi="Times New Roman" w:cs="Times New Roman"/>
                                <w:color w:val="373535"/>
                                <w:sz w:val="28"/>
                                <w:szCs w:val="28"/>
                              </w:rPr>
                              <w:t>Dura entre 65 y 75 días.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" o:spid="_x0000_s1027" type="#_x0000_t202" style="position:absolute;margin-left:365.7pt;margin-top:28.05pt;width:103.5pt;height: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textbox>
                  <w:txbxContent>
                    <w:p w:rsidR="00D64C9E" w:rsidRPr="00D64C9E" w:rsidRDefault="00D64C9E" w:rsidP="00D64C9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64C9E">
                        <w:rPr>
                          <w:rFonts w:ascii="Times New Roman" w:eastAsia="Times-Roman" w:hAnsi="Times New Roman" w:cs="Times New Roman"/>
                          <w:color w:val="373535"/>
                          <w:sz w:val="28"/>
                          <w:szCs w:val="28"/>
                        </w:rPr>
                        <w:t>Dura entre 65 y 75 días.</w:t>
                      </w:r>
                    </w:p>
                  </w:txbxContent>
                </v:textbox>
              </v:shape>
            </w:pict>
          </mc:Fallback>
        </mc:AlternateContent>
      </w:r>
      <w:r w:rsidR="00464334">
        <w:rPr>
          <w:noProof/>
          <w:lang w:eastAsia="es-ES"/>
        </w:rPr>
        <w:drawing>
          <wp:inline distT="0" distB="0" distL="0" distR="0" wp14:anchorId="2E6605B3" wp14:editId="3C2A5804">
            <wp:extent cx="4610100" cy="665121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989" t="8819" r="29798" b="7834"/>
                    <a:stretch/>
                  </pic:blipFill>
                  <pic:spPr bwMode="auto">
                    <a:xfrm>
                      <a:off x="0" y="0"/>
                      <a:ext cx="4616922" cy="6661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2DF6" w:rsidRDefault="00FF2DF6">
      <w:pPr>
        <w:rPr>
          <w:b/>
          <w:bCs/>
        </w:rPr>
      </w:pPr>
      <w:r>
        <w:rPr>
          <w:b/>
          <w:bCs/>
        </w:rPr>
        <w:t>Referencias</w:t>
      </w:r>
    </w:p>
    <w:p w:rsidR="00FF2DF6" w:rsidRPr="00FF2DF6" w:rsidRDefault="00FF2DF6" w:rsidP="00FF2DF6">
      <w:pPr>
        <w:numPr>
          <w:ilvl w:val="0"/>
          <w:numId w:val="1"/>
        </w:numPr>
        <w:rPr>
          <w:b/>
          <w:bCs/>
          <w:lang w:val="es-MX"/>
        </w:rPr>
      </w:pPr>
      <w:r w:rsidRPr="00FF2DF6">
        <w:rPr>
          <w:b/>
          <w:bCs/>
          <w:lang w:val="es-MX"/>
        </w:rPr>
        <w:t xml:space="preserve">TORTORA, G. </w:t>
      </w:r>
      <w:r w:rsidRPr="00FF2DF6">
        <w:rPr>
          <w:b/>
          <w:bCs/>
          <w:lang w:val="es-MX"/>
        </w:rPr>
        <w:t>(2006</w:t>
      </w:r>
      <w:bookmarkStart w:id="0" w:name="_GoBack"/>
      <w:bookmarkEnd w:id="0"/>
      <w:r w:rsidRPr="00FF2DF6">
        <w:rPr>
          <w:b/>
          <w:bCs/>
          <w:lang w:val="es-MX"/>
        </w:rPr>
        <w:t>). Principios</w:t>
      </w:r>
      <w:r w:rsidRPr="00FF2DF6">
        <w:rPr>
          <w:b/>
          <w:bCs/>
          <w:lang w:val="es-MX"/>
        </w:rPr>
        <w:t xml:space="preserve"> de anatomía y fisiología humana. Treceava ed. México DF. EDITORIAL MEDICA PANAMERICANA.</w:t>
      </w:r>
    </w:p>
    <w:p w:rsidR="00FF2DF6" w:rsidRPr="00464334" w:rsidRDefault="00FF2DF6">
      <w:pPr>
        <w:rPr>
          <w:b/>
          <w:bCs/>
        </w:rPr>
      </w:pPr>
    </w:p>
    <w:sectPr w:rsidR="00FF2DF6" w:rsidRPr="004643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815E5"/>
    <w:multiLevelType w:val="hybridMultilevel"/>
    <w:tmpl w:val="47F85998"/>
    <w:lvl w:ilvl="0" w:tplc="9B24603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B4FB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86B6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4482D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D823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A24E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16FA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AC14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8631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334"/>
    <w:rsid w:val="00464334"/>
    <w:rsid w:val="00715BCF"/>
    <w:rsid w:val="00D64C9E"/>
    <w:rsid w:val="00FF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80347"/>
  <w15:chartTrackingRefBased/>
  <w15:docId w15:val="{07C682BC-BBBB-466A-9FB3-B7AB890DE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2D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D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58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28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</Words>
  <Characters>132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COMPUTO 10</dc:creator>
  <cp:keywords/>
  <dc:description/>
  <cp:lastModifiedBy>brisr</cp:lastModifiedBy>
  <cp:revision>6</cp:revision>
  <dcterms:created xsi:type="dcterms:W3CDTF">2019-03-31T10:00:00Z</dcterms:created>
  <dcterms:modified xsi:type="dcterms:W3CDTF">2019-03-28T05:02:00Z</dcterms:modified>
</cp:coreProperties>
</file>